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Theme="minorEastAsia" w:hAnsiTheme="minorEastAsia" w:cstheme="minorEastAsia"/>
          <w:b/>
          <w:sz w:val="44"/>
          <w:szCs w:val="44"/>
        </w:rPr>
      </w:pPr>
      <w:r>
        <w:rPr>
          <w:rFonts w:hint="eastAsia" w:asciiTheme="minorEastAsia" w:hAnsiTheme="minorEastAsia" w:cstheme="minorEastAsia"/>
          <w:b/>
          <w:sz w:val="44"/>
          <w:szCs w:val="44"/>
        </w:rPr>
        <w:t>招标需求</w:t>
      </w:r>
    </w:p>
    <w:p>
      <w:pPr>
        <w:spacing w:line="360" w:lineRule="auto"/>
        <w:jc w:val="center"/>
        <w:outlineLvl w:val="0"/>
        <w:rPr>
          <w:rFonts w:asciiTheme="minorEastAsia" w:hAnsiTheme="minorEastAsia" w:cstheme="minorEastAsia"/>
          <w:b/>
          <w:sz w:val="44"/>
          <w:szCs w:val="44"/>
        </w:rPr>
      </w:pPr>
    </w:p>
    <w:p>
      <w:pPr>
        <w:spacing w:line="500" w:lineRule="exact"/>
        <w:ind w:firstLine="482" w:firstLineChars="200"/>
        <w:outlineLvl w:val="1"/>
        <w:rPr>
          <w:rFonts w:asciiTheme="minorEastAsia" w:hAnsiTheme="minorEastAsia" w:cstheme="minorEastAsia"/>
          <w:b/>
          <w:bCs/>
          <w:sz w:val="24"/>
        </w:rPr>
      </w:pPr>
      <w:r>
        <w:rPr>
          <w:rFonts w:hint="eastAsia" w:asciiTheme="minorEastAsia" w:hAnsiTheme="minorEastAsia" w:cstheme="minorEastAsia"/>
          <w:b/>
          <w:bCs/>
          <w:sz w:val="24"/>
        </w:rPr>
        <w:t>项目名称：</w:t>
      </w:r>
      <w:r>
        <w:rPr>
          <w:rFonts w:hint="default" w:asciiTheme="minorEastAsia" w:hAnsiTheme="minorEastAsia" w:cstheme="minorEastAsia"/>
          <w:b/>
          <w:bCs/>
          <w:sz w:val="24"/>
        </w:rPr>
        <w:t>湖州市第一人民医院等级保护测评</w:t>
      </w:r>
      <w:r>
        <w:rPr>
          <w:rFonts w:hint="eastAsia" w:asciiTheme="minorEastAsia" w:hAnsiTheme="minorEastAsia" w:cstheme="minorEastAsia"/>
          <w:b/>
          <w:bCs/>
          <w:sz w:val="24"/>
        </w:rPr>
        <w:t>服务项目</w:t>
      </w:r>
    </w:p>
    <w:p>
      <w:r>
        <w:rPr>
          <w:rFonts w:hint="eastAsia"/>
        </w:rPr>
        <w:t>投标人资格要求：</w:t>
      </w:r>
    </w:p>
    <w:p>
      <w:pPr>
        <w:numPr>
          <w:ilvl w:val="0"/>
          <w:numId w:val="1"/>
        </w:numPr>
      </w:pPr>
      <w:r>
        <w:rPr>
          <w:rFonts w:hint="eastAsia"/>
        </w:rPr>
        <w:t>本项目投标人实在中国境内注册的企事业单位，须具有独立法人资格及经营范围许可，且具有合法有效的企业法人营业执照。</w:t>
      </w:r>
    </w:p>
    <w:p>
      <w:pPr>
        <w:numPr>
          <w:ilvl w:val="0"/>
          <w:numId w:val="1"/>
        </w:numPr>
      </w:pPr>
      <w:r>
        <w:rPr>
          <w:rFonts w:hint="eastAsia"/>
        </w:rPr>
        <w:t>本项目不接受联合体投标</w:t>
      </w:r>
    </w:p>
    <w:p>
      <w:pPr>
        <w:numPr>
          <w:ilvl w:val="0"/>
          <w:numId w:val="1"/>
        </w:numPr>
      </w:pPr>
      <w:r>
        <w:rPr>
          <w:rFonts w:hint="eastAsia"/>
        </w:rPr>
        <w:t>本项目投标单位需是浙江省内的企事业单位或需在浙江省内设立分公司。</w:t>
      </w:r>
    </w:p>
    <w:p>
      <w:pPr>
        <w:numPr>
          <w:ilvl w:val="0"/>
          <w:numId w:val="1"/>
        </w:numPr>
      </w:pPr>
      <w:r>
        <w:t>出具等级保护测评报告的公司需在浙江省内等保公司名录内。</w:t>
      </w:r>
    </w:p>
    <w:p>
      <w:pPr>
        <w:spacing w:line="500" w:lineRule="exact"/>
        <w:ind w:firstLine="482" w:firstLineChars="200"/>
        <w:outlineLvl w:val="1"/>
        <w:rPr>
          <w:rFonts w:asciiTheme="minorEastAsia" w:hAnsiTheme="minorEastAsia" w:cstheme="minorEastAsia"/>
          <w:b/>
          <w:bCs/>
          <w:sz w:val="24"/>
        </w:rPr>
      </w:pPr>
    </w:p>
    <w:p>
      <w:pPr>
        <w:spacing w:line="500" w:lineRule="exact"/>
        <w:ind w:firstLine="482" w:firstLineChars="200"/>
        <w:outlineLvl w:val="1"/>
        <w:rPr>
          <w:rFonts w:asciiTheme="minorEastAsia" w:hAnsiTheme="minorEastAsia" w:cstheme="minorEastAsia"/>
          <w:b/>
          <w:bCs/>
          <w:sz w:val="24"/>
        </w:rPr>
      </w:pPr>
      <w:r>
        <w:rPr>
          <w:rFonts w:hint="eastAsia" w:asciiTheme="minorEastAsia" w:hAnsiTheme="minorEastAsia" w:cstheme="minorEastAsia"/>
          <w:b/>
          <w:bCs/>
          <w:sz w:val="24"/>
        </w:rPr>
        <w:t>▲一、服务范围</w:t>
      </w:r>
    </w:p>
    <w:p>
      <w:pPr>
        <w:widowControl/>
        <w:spacing w:line="315" w:lineRule="atLeast"/>
        <w:rPr>
          <w:sz w:val="32"/>
          <w:szCs w:val="28"/>
        </w:rPr>
      </w:pPr>
      <w:r>
        <w:rPr>
          <w:rFonts w:ascii="Calibri" w:hAnsi="Calibri" w:cs="Times New Roman"/>
          <w:color w:val="000000"/>
          <w:kern w:val="0"/>
          <w:sz w:val="22"/>
          <w:szCs w:val="22"/>
        </w:rPr>
        <w:t>服务网站列表</w:t>
      </w:r>
    </w:p>
    <w:p>
      <w:pPr>
        <w:widowControl/>
        <w:spacing w:line="315" w:lineRule="atLeast"/>
        <w:rPr>
          <w:rFonts w:cs="Times New Roman" w:asciiTheme="majorEastAsia" w:hAnsiTheme="majorEastAsia" w:eastAsiaTheme="majorEastAsia"/>
          <w:color w:val="000000"/>
          <w:kern w:val="0"/>
          <w:sz w:val="22"/>
          <w:szCs w:val="22"/>
        </w:rPr>
      </w:pPr>
      <w:r>
        <w:rPr>
          <w:rFonts w:hint="eastAsia" w:cs="Times New Roman" w:asciiTheme="majorEastAsia" w:hAnsiTheme="majorEastAsia" w:eastAsiaTheme="majorEastAsia"/>
          <w:color w:val="000000"/>
          <w:kern w:val="0"/>
          <w:sz w:val="22"/>
          <w:szCs w:val="22"/>
        </w:rPr>
        <w:t>主站：</w:t>
      </w:r>
    </w:p>
    <w:tbl>
      <w:tblPr>
        <w:tblStyle w:val="8"/>
        <w:tblW w:w="9420" w:type="dxa"/>
        <w:tblInd w:w="98" w:type="dxa"/>
        <w:tblLayout w:type="fixed"/>
        <w:tblCellMar>
          <w:top w:w="0" w:type="dxa"/>
          <w:left w:w="108" w:type="dxa"/>
          <w:bottom w:w="0" w:type="dxa"/>
          <w:right w:w="108" w:type="dxa"/>
        </w:tblCellMar>
      </w:tblPr>
      <w:tblGrid>
        <w:gridCol w:w="764"/>
        <w:gridCol w:w="1899"/>
        <w:gridCol w:w="1424"/>
        <w:gridCol w:w="5333"/>
      </w:tblGrid>
      <w:tr>
        <w:tblPrEx>
          <w:tblLayout w:type="fixed"/>
        </w:tblPrEx>
        <w:trPr>
          <w:trHeight w:val="550" w:hRule="atLeast"/>
        </w:trPr>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bCs/>
                <w:color w:val="000000"/>
                <w:kern w:val="0"/>
                <w:sz w:val="22"/>
                <w:szCs w:val="22"/>
              </w:rPr>
            </w:pPr>
            <w:r>
              <w:rPr>
                <w:rFonts w:hint="eastAsia" w:cs="宋体" w:asciiTheme="majorEastAsia" w:hAnsiTheme="majorEastAsia" w:eastAsiaTheme="majorEastAsia"/>
                <w:bCs/>
                <w:color w:val="000000"/>
                <w:kern w:val="0"/>
                <w:sz w:val="22"/>
                <w:szCs w:val="22"/>
              </w:rPr>
              <w:t>序号</w:t>
            </w:r>
          </w:p>
        </w:tc>
        <w:tc>
          <w:tcPr>
            <w:tcW w:w="1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bCs/>
                <w:color w:val="000000"/>
                <w:kern w:val="0"/>
                <w:sz w:val="22"/>
                <w:szCs w:val="22"/>
              </w:rPr>
            </w:pPr>
            <w:r>
              <w:rPr>
                <w:rFonts w:hint="default" w:cs="宋体" w:asciiTheme="majorEastAsia" w:hAnsiTheme="majorEastAsia" w:eastAsiaTheme="majorEastAsia"/>
                <w:bCs/>
                <w:color w:val="000000"/>
                <w:kern w:val="0"/>
                <w:sz w:val="22"/>
                <w:szCs w:val="22"/>
              </w:rPr>
              <w:t>项目名称</w:t>
            </w:r>
          </w:p>
        </w:tc>
        <w:tc>
          <w:tcPr>
            <w:tcW w:w="14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bCs/>
                <w:color w:val="000000"/>
                <w:kern w:val="0"/>
                <w:sz w:val="22"/>
                <w:szCs w:val="22"/>
              </w:rPr>
            </w:pPr>
            <w:r>
              <w:rPr>
                <w:rFonts w:hint="default" w:cs="宋体" w:asciiTheme="majorEastAsia" w:hAnsiTheme="majorEastAsia" w:eastAsiaTheme="majorEastAsia"/>
                <w:bCs/>
                <w:color w:val="000000"/>
                <w:kern w:val="0"/>
                <w:sz w:val="22"/>
                <w:szCs w:val="22"/>
              </w:rPr>
              <w:t>预算</w:t>
            </w:r>
          </w:p>
        </w:tc>
        <w:tc>
          <w:tcPr>
            <w:tcW w:w="53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bCs/>
                <w:color w:val="000000"/>
                <w:kern w:val="0"/>
                <w:sz w:val="22"/>
                <w:szCs w:val="22"/>
              </w:rPr>
            </w:pPr>
            <w:r>
              <w:rPr>
                <w:rFonts w:hint="default" w:cs="宋体" w:asciiTheme="majorEastAsia" w:hAnsiTheme="majorEastAsia" w:eastAsiaTheme="majorEastAsia"/>
                <w:bCs/>
                <w:color w:val="000000"/>
                <w:kern w:val="0"/>
                <w:sz w:val="22"/>
                <w:szCs w:val="22"/>
              </w:rPr>
              <w:t>备注</w:t>
            </w:r>
          </w:p>
        </w:tc>
      </w:tr>
      <w:tr>
        <w:tblPrEx>
          <w:tblLayout w:type="fixed"/>
        </w:tblPrEx>
        <w:trPr>
          <w:trHeight w:val="719" w:hRule="atLeast"/>
        </w:trPr>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ajorEastAsia" w:hAnsiTheme="majorEastAsia" w:eastAsiaTheme="majorEastAsia"/>
                <w:bCs/>
                <w:color w:val="000000"/>
                <w:kern w:val="0"/>
                <w:sz w:val="22"/>
                <w:szCs w:val="22"/>
              </w:rPr>
            </w:pPr>
            <w:r>
              <w:rPr>
                <w:rFonts w:cs="Times New Roman" w:asciiTheme="majorEastAsia" w:hAnsiTheme="majorEastAsia" w:eastAsiaTheme="majorEastAsia"/>
                <w:bCs/>
                <w:color w:val="000000"/>
                <w:kern w:val="0"/>
                <w:sz w:val="22"/>
                <w:szCs w:val="22"/>
              </w:rPr>
              <w:t>1</w:t>
            </w:r>
          </w:p>
        </w:tc>
        <w:tc>
          <w:tcPr>
            <w:tcW w:w="1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bCs/>
                <w:color w:val="000000"/>
                <w:kern w:val="0"/>
                <w:sz w:val="22"/>
                <w:szCs w:val="22"/>
              </w:rPr>
            </w:pPr>
            <w:r>
              <w:rPr>
                <w:rFonts w:hint="default" w:cs="宋体" w:asciiTheme="majorEastAsia" w:hAnsiTheme="majorEastAsia" w:eastAsiaTheme="majorEastAsia"/>
                <w:bCs/>
                <w:color w:val="000000"/>
                <w:kern w:val="0"/>
                <w:sz w:val="22"/>
                <w:szCs w:val="22"/>
              </w:rPr>
              <w:t>等级保护测评</w:t>
            </w:r>
          </w:p>
        </w:tc>
        <w:tc>
          <w:tcPr>
            <w:tcW w:w="14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Times New Roman" w:asciiTheme="majorEastAsia" w:hAnsiTheme="majorEastAsia" w:eastAsiaTheme="majorEastAsia"/>
                <w:bCs/>
                <w:color w:val="000000"/>
                <w:kern w:val="0"/>
                <w:sz w:val="22"/>
                <w:szCs w:val="22"/>
              </w:rPr>
            </w:pPr>
            <w:r>
              <w:rPr>
                <w:rFonts w:hint="default" w:cs="Times New Roman" w:asciiTheme="majorEastAsia" w:hAnsiTheme="majorEastAsia" w:eastAsiaTheme="majorEastAsia"/>
                <w:bCs/>
                <w:color w:val="000000"/>
                <w:kern w:val="0"/>
                <w:sz w:val="22"/>
                <w:szCs w:val="22"/>
              </w:rPr>
              <w:t>8万</w:t>
            </w:r>
          </w:p>
        </w:tc>
        <w:tc>
          <w:tcPr>
            <w:tcW w:w="53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Times New Roman" w:asciiTheme="majorEastAsia" w:hAnsiTheme="majorEastAsia" w:eastAsiaTheme="majorEastAsia"/>
                <w:bCs/>
                <w:color w:val="000000"/>
                <w:kern w:val="0"/>
                <w:sz w:val="22"/>
                <w:szCs w:val="22"/>
              </w:rPr>
            </w:pPr>
            <w:r>
              <w:rPr>
                <w:rFonts w:cs="Times New Roman" w:asciiTheme="majorEastAsia" w:hAnsiTheme="majorEastAsia" w:eastAsiaTheme="majorEastAsia"/>
                <w:bCs/>
                <w:color w:val="000000"/>
                <w:kern w:val="0"/>
                <w:sz w:val="22"/>
                <w:szCs w:val="22"/>
              </w:rPr>
              <w:t>湖州市第一医院门户网站</w:t>
            </w:r>
            <w:r>
              <w:rPr>
                <w:rFonts w:cs="Times New Roman" w:asciiTheme="majorEastAsia" w:hAnsiTheme="majorEastAsia" w:eastAsiaTheme="majorEastAsia"/>
                <w:bCs/>
                <w:color w:val="000000"/>
                <w:kern w:val="0"/>
                <w:sz w:val="22"/>
                <w:szCs w:val="22"/>
              </w:rPr>
              <w:t>2级</w:t>
            </w:r>
          </w:p>
          <w:p>
            <w:pPr>
              <w:widowControl/>
              <w:jc w:val="center"/>
              <w:rPr>
                <w:rFonts w:cs="Times New Roman" w:asciiTheme="majorEastAsia" w:hAnsiTheme="majorEastAsia" w:eastAsiaTheme="majorEastAsia"/>
                <w:bCs/>
                <w:color w:val="000000"/>
                <w:kern w:val="0"/>
                <w:sz w:val="22"/>
                <w:szCs w:val="22"/>
              </w:rPr>
            </w:pPr>
            <w:r>
              <w:rPr>
                <w:rFonts w:cs="Times New Roman" w:asciiTheme="majorEastAsia" w:hAnsiTheme="majorEastAsia" w:eastAsiaTheme="majorEastAsia"/>
                <w:bCs/>
                <w:color w:val="000000"/>
                <w:kern w:val="0"/>
                <w:sz w:val="22"/>
                <w:szCs w:val="22"/>
              </w:rPr>
              <w:t>医院信息系统（HIS系统）</w:t>
            </w:r>
            <w:r>
              <w:rPr>
                <w:rFonts w:cs="Times New Roman" w:asciiTheme="majorEastAsia" w:hAnsiTheme="majorEastAsia" w:eastAsiaTheme="majorEastAsia"/>
                <w:bCs/>
                <w:color w:val="000000"/>
                <w:kern w:val="0"/>
                <w:sz w:val="22"/>
                <w:szCs w:val="22"/>
              </w:rPr>
              <w:t>3级</w:t>
            </w:r>
          </w:p>
        </w:tc>
      </w:tr>
    </w:tbl>
    <w:p>
      <w:pPr>
        <w:spacing w:line="500" w:lineRule="exact"/>
        <w:rPr>
          <w:rFonts w:asciiTheme="minorEastAsia" w:hAnsiTheme="minorEastAsia" w:cstheme="minorEastAsia"/>
          <w:szCs w:val="28"/>
        </w:rPr>
      </w:pPr>
    </w:p>
    <w:p>
      <w:pPr>
        <w:spacing w:line="500" w:lineRule="exact"/>
        <w:ind w:firstLine="480" w:firstLineChars="200"/>
        <w:outlineLvl w:val="1"/>
        <w:rPr>
          <w:rFonts w:hint="eastAsia" w:eastAsia="仿宋" w:cs="宋体"/>
          <w:b/>
          <w:bCs/>
          <w:color w:val="auto"/>
          <w:sz w:val="24"/>
        </w:rPr>
      </w:pPr>
      <w:r>
        <w:rPr>
          <w:rFonts w:hint="eastAsia" w:asciiTheme="minorEastAsia" w:hAnsiTheme="minorEastAsia" w:cstheme="minorEastAsia"/>
          <w:sz w:val="24"/>
        </w:rPr>
        <w:t>▲</w:t>
      </w:r>
      <w:r>
        <w:rPr>
          <w:rFonts w:hint="eastAsia" w:eastAsia="仿宋" w:cs="宋体"/>
          <w:b/>
          <w:bCs/>
          <w:color w:val="auto"/>
          <w:sz w:val="24"/>
        </w:rPr>
        <w:t>二、</w:t>
      </w:r>
      <w:r>
        <w:rPr>
          <w:rFonts w:hint="default" w:eastAsia="仿宋" w:cs="宋体"/>
          <w:b/>
          <w:bCs/>
          <w:color w:val="auto"/>
          <w:sz w:val="24"/>
        </w:rPr>
        <w:t>项目背景</w:t>
      </w:r>
    </w:p>
    <w:p>
      <w:pPr>
        <w:spacing w:line="500" w:lineRule="exact"/>
        <w:ind w:firstLine="480" w:firstLineChars="200"/>
        <w:rPr>
          <w:rFonts w:asciiTheme="minorEastAsia" w:hAnsiTheme="minorEastAsia" w:cstheme="minorEastAsia"/>
          <w:szCs w:val="28"/>
          <w:lang w:val="en-US"/>
        </w:rPr>
      </w:pPr>
      <w:r>
        <w:rPr>
          <w:rFonts w:hint="default" w:eastAsia="仿宋" w:cs="宋体"/>
          <w:color w:val="auto"/>
          <w:sz w:val="24"/>
        </w:rPr>
        <w:t>1.1</w:t>
      </w:r>
      <w:r>
        <w:rPr>
          <w:rFonts w:hint="eastAsia" w:eastAsia="仿宋" w:cs="宋体"/>
          <w:color w:val="auto"/>
          <w:sz w:val="24"/>
        </w:rPr>
        <w:t>根据《中华人民共和国计算机信系统安全保护条例》、《关于信息安全等级保护工作的实施意见》、《信息安全等级保护管理办法》、《关于开展全国重要信息系统安全等级保护定级工作的通知》、《信息安全等级保护备案实施细则》、《公安机关信息安全等级保护检查工作规范》、《关于加强国家电子政务工程建设信息风险评估工作的通知》、《关于开展信息安全等级保护安全建设整改工作的指导意见》、《信息系统安全等级保护测评报告模板》文件要求</w:t>
      </w:r>
      <w:r>
        <w:rPr>
          <w:rFonts w:hint="default" w:eastAsia="仿宋" w:cs="宋体"/>
          <w:color w:val="auto"/>
          <w:sz w:val="24"/>
        </w:rPr>
        <w:t>；</w:t>
      </w:r>
      <w:r>
        <w:rPr>
          <w:rFonts w:hint="default" w:eastAsia="仿宋" w:cs="宋体"/>
          <w:b w:val="0"/>
          <w:bCs w:val="0"/>
          <w:color w:val="auto"/>
          <w:sz w:val="24"/>
          <w:u w:val="none"/>
          <w:lang w:eastAsia="zh-CN"/>
        </w:rPr>
        <w:t>根据公安部</w:t>
      </w:r>
      <w:r>
        <w:rPr>
          <w:rFonts w:hint="default" w:eastAsia="仿宋" w:cs="宋体"/>
          <w:b/>
          <w:bCs/>
          <w:color w:val="auto"/>
          <w:sz w:val="24"/>
          <w:u w:val="none"/>
          <w:lang w:eastAsia="zh-CN"/>
        </w:rPr>
        <w:t>《信息安全等级保护管理办法》（公通字-2007-43号）的要求</w:t>
      </w:r>
      <w:r>
        <w:rPr>
          <w:rFonts w:hint="default" w:eastAsia="仿宋" w:cs="宋体"/>
          <w:color w:val="auto"/>
          <w:sz w:val="24"/>
          <w:lang w:eastAsia="zh-CN"/>
        </w:rPr>
        <w:t>：“信息系统建设完成后，运营、使用单位或者其主管部门应当选择符合本办法规定条件的测评机构，依据《信息系统安全等级保护测评要求》等技术标准，定期对信息系统安全等级状况开展等级测评。</w:t>
      </w:r>
      <w:r>
        <w:rPr>
          <w:rFonts w:hint="default" w:eastAsia="仿宋" w:cs="宋体"/>
          <w:b/>
          <w:bCs/>
          <w:color w:val="auto"/>
          <w:sz w:val="24"/>
          <w:lang w:eastAsia="zh-CN"/>
        </w:rPr>
        <w:t>第三级信息系统应当每年至少进行一次等级测评</w:t>
      </w:r>
      <w:r>
        <w:rPr>
          <w:rFonts w:hint="default" w:eastAsia="仿宋" w:cs="宋体"/>
          <w:color w:val="auto"/>
          <w:sz w:val="24"/>
          <w:lang w:eastAsia="zh-CN"/>
        </w:rPr>
        <w:t>，第四级信息系统应当每半年至少进行一次等级测评，第五级信息系统应当依据特殊安全需求进行等级测评的要求，委托第三方服务公司</w:t>
      </w:r>
      <w:r>
        <w:rPr>
          <w:rFonts w:hint="default" w:eastAsia="仿宋" w:cs="宋体"/>
          <w:color w:val="auto"/>
          <w:sz w:val="24"/>
        </w:rPr>
        <w:t>对湖州市第一人民医院信息系统及网站进行定级及测评</w:t>
      </w:r>
      <w:r>
        <w:rPr>
          <w:rFonts w:hint="default" w:eastAsia="仿宋" w:cs="宋体"/>
          <w:color w:val="auto"/>
          <w:sz w:val="24"/>
        </w:rPr>
        <w:t>，并出具正式测评报告。</w:t>
      </w:r>
    </w:p>
    <w:p>
      <w:pPr>
        <w:spacing w:line="500" w:lineRule="exact"/>
        <w:ind w:firstLine="480" w:firstLineChars="200"/>
        <w:outlineLvl w:val="1"/>
        <w:rPr>
          <w:rFonts w:hint="eastAsia" w:eastAsia="仿宋" w:cs="宋体"/>
          <w:b/>
          <w:bCs/>
          <w:color w:val="auto"/>
          <w:sz w:val="24"/>
        </w:rPr>
      </w:pPr>
      <w:bookmarkStart w:id="0" w:name="_Toc674"/>
      <w:bookmarkStart w:id="1" w:name="_Toc6520"/>
      <w:r>
        <w:rPr>
          <w:rFonts w:hint="eastAsia" w:asciiTheme="minorEastAsia" w:hAnsiTheme="minorEastAsia" w:cstheme="minorEastAsia"/>
          <w:sz w:val="24"/>
        </w:rPr>
        <w:t>▲</w:t>
      </w:r>
      <w:bookmarkEnd w:id="0"/>
      <w:bookmarkEnd w:id="1"/>
      <w:r>
        <w:rPr>
          <w:rFonts w:hint="default" w:asciiTheme="minorEastAsia" w:hAnsiTheme="minorEastAsia" w:cstheme="minorEastAsia"/>
          <w:sz w:val="24"/>
        </w:rPr>
        <w:t>三</w:t>
      </w:r>
      <w:r>
        <w:rPr>
          <w:rFonts w:hint="eastAsia" w:eastAsia="仿宋" w:cs="宋体"/>
          <w:b/>
          <w:bCs/>
          <w:color w:val="auto"/>
          <w:sz w:val="24"/>
        </w:rPr>
        <w:t>、服务内容</w:t>
      </w:r>
    </w:p>
    <w:p>
      <w:pPr>
        <w:spacing w:line="500" w:lineRule="exact"/>
        <w:ind w:firstLine="482" w:firstLineChars="200"/>
        <w:outlineLvl w:val="2"/>
        <w:rPr>
          <w:rFonts w:hint="eastAsia" w:eastAsia="仿宋" w:cs="宋体"/>
          <w:b/>
          <w:bCs/>
          <w:color w:val="auto"/>
          <w:sz w:val="24"/>
        </w:rPr>
      </w:pPr>
      <w:r>
        <w:rPr>
          <w:rFonts w:hint="eastAsia" w:eastAsia="仿宋" w:cs="宋体"/>
          <w:b/>
          <w:bCs/>
          <w:color w:val="auto"/>
          <w:sz w:val="24"/>
        </w:rPr>
        <w:t>1、等保测评内容及要求</w:t>
      </w:r>
    </w:p>
    <w:p>
      <w:pPr>
        <w:spacing w:line="440" w:lineRule="exact"/>
        <w:ind w:firstLine="480" w:firstLineChars="200"/>
        <w:rPr>
          <w:rFonts w:hint="default" w:eastAsia="仿宋" w:cs="宋体"/>
          <w:color w:val="auto"/>
          <w:sz w:val="24"/>
        </w:rPr>
      </w:pPr>
      <w:r>
        <w:rPr>
          <w:rFonts w:hint="default" w:eastAsia="仿宋" w:cs="宋体"/>
          <w:color w:val="auto"/>
          <w:sz w:val="24"/>
        </w:rPr>
        <w:t>，并出具测评结束后的等保整改书。</w:t>
      </w:r>
    </w:p>
    <w:p>
      <w:pPr>
        <w:spacing w:line="440" w:lineRule="exact"/>
        <w:ind w:firstLine="480" w:firstLineChars="200"/>
        <w:rPr>
          <w:rFonts w:hint="default" w:eastAsia="仿宋" w:cs="宋体"/>
          <w:color w:val="auto"/>
          <w:sz w:val="24"/>
        </w:rPr>
      </w:pPr>
      <w:r>
        <w:rPr>
          <w:rFonts w:hint="default" w:eastAsia="仿宋" w:cs="宋体"/>
          <w:color w:val="auto"/>
          <w:sz w:val="24"/>
        </w:rPr>
        <w:t>1.2</w:t>
      </w:r>
      <w:r>
        <w:rPr>
          <w:rFonts w:hint="default" w:eastAsia="仿宋" w:cs="宋体"/>
          <w:color w:val="auto"/>
          <w:sz w:val="24"/>
        </w:rPr>
        <w:t>本次测评根据</w:t>
      </w:r>
      <w:r>
        <w:rPr>
          <w:rFonts w:hint="default" w:eastAsia="仿宋" w:cs="宋体"/>
          <w:color w:val="auto"/>
          <w:sz w:val="24"/>
        </w:rPr>
        <w:t>湖州市第一人民医院</w:t>
      </w:r>
      <w:r>
        <w:rPr>
          <w:rFonts w:hint="default" w:eastAsia="仿宋" w:cs="宋体"/>
          <w:color w:val="auto"/>
          <w:sz w:val="24"/>
        </w:rPr>
        <w:t>各类信息系统安全等级要求，对信息系统所涉及的网络设备、安全设备、主机操作系统、应用软件、数据库系统、物理机房基础设施、信息系统安全管理制度和信息系统运维环境等进行测评，形成各信息系统等级测评报告和整改建议书。具体测评内容如下表：</w:t>
      </w:r>
      <w:bookmarkStart w:id="2" w:name="_GoBack"/>
      <w:bookmarkEnd w:id="2"/>
    </w:p>
    <w:tbl>
      <w:tblPr>
        <w:tblStyle w:val="8"/>
        <w:tblW w:w="9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323"/>
        <w:gridCol w:w="6660"/>
      </w:tblGrid>
      <w:tr>
        <w:tblPrEx>
          <w:tblLayout w:type="fixed"/>
        </w:tblPrEx>
        <w:trPr>
          <w:trHeight w:val="580" w:hRule="atLeast"/>
          <w:jc w:val="center"/>
        </w:trPr>
        <w:tc>
          <w:tcPr>
            <w:tcW w:w="797" w:type="dxa"/>
            <w:vAlign w:val="top"/>
          </w:tcPr>
          <w:p>
            <w:pPr>
              <w:spacing w:line="440" w:lineRule="exact"/>
              <w:jc w:val="center"/>
              <w:rPr>
                <w:rFonts w:hint="default" w:eastAsia="仿宋" w:cs="宋体"/>
                <w:color w:val="auto"/>
                <w:sz w:val="24"/>
              </w:rPr>
            </w:pPr>
            <w:r>
              <w:rPr>
                <w:rFonts w:hint="default" w:eastAsia="仿宋" w:cs="宋体"/>
                <w:color w:val="auto"/>
                <w:sz w:val="24"/>
              </w:rPr>
              <w:t>序号</w:t>
            </w:r>
          </w:p>
        </w:tc>
        <w:tc>
          <w:tcPr>
            <w:tcW w:w="2323" w:type="dxa"/>
            <w:vAlign w:val="top"/>
          </w:tcPr>
          <w:p>
            <w:pPr>
              <w:spacing w:line="440" w:lineRule="exact"/>
              <w:ind w:firstLine="480" w:firstLineChars="200"/>
              <w:rPr>
                <w:rFonts w:hint="default" w:eastAsia="仿宋" w:cs="宋体"/>
                <w:color w:val="auto"/>
                <w:sz w:val="24"/>
              </w:rPr>
            </w:pPr>
            <w:r>
              <w:rPr>
                <w:rFonts w:hint="default" w:eastAsia="仿宋" w:cs="宋体"/>
                <w:color w:val="auto"/>
                <w:sz w:val="24"/>
              </w:rPr>
              <w:t>测评项</w:t>
            </w:r>
          </w:p>
        </w:tc>
        <w:tc>
          <w:tcPr>
            <w:tcW w:w="6660" w:type="dxa"/>
            <w:vAlign w:val="top"/>
          </w:tcPr>
          <w:p>
            <w:pPr>
              <w:spacing w:line="440" w:lineRule="exact"/>
              <w:ind w:firstLine="480" w:firstLineChars="200"/>
              <w:jc w:val="center"/>
              <w:rPr>
                <w:rFonts w:hint="default" w:eastAsia="仿宋" w:cs="宋体"/>
                <w:color w:val="auto"/>
                <w:sz w:val="24"/>
              </w:rPr>
            </w:pPr>
            <w:r>
              <w:rPr>
                <w:rFonts w:hint="default" w:eastAsia="仿宋" w:cs="宋体"/>
                <w:color w:val="auto"/>
                <w:sz w:val="24"/>
              </w:rPr>
              <w:t>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07" w:hRule="atLeast"/>
          <w:jc w:val="center"/>
        </w:trPr>
        <w:tc>
          <w:tcPr>
            <w:tcW w:w="797" w:type="dxa"/>
            <w:vAlign w:val="center"/>
          </w:tcPr>
          <w:p>
            <w:pPr>
              <w:spacing w:line="440" w:lineRule="exact"/>
              <w:jc w:val="center"/>
              <w:rPr>
                <w:rFonts w:hint="default" w:eastAsia="仿宋" w:cs="宋体"/>
                <w:color w:val="auto"/>
                <w:sz w:val="24"/>
              </w:rPr>
            </w:pPr>
            <w:r>
              <w:rPr>
                <w:rFonts w:hint="default" w:eastAsia="仿宋" w:cs="宋体"/>
                <w:color w:val="auto"/>
                <w:sz w:val="24"/>
              </w:rPr>
              <w:t>1</w:t>
            </w:r>
          </w:p>
        </w:tc>
        <w:tc>
          <w:tcPr>
            <w:tcW w:w="2323" w:type="dxa"/>
            <w:vAlign w:val="center"/>
          </w:tcPr>
          <w:p>
            <w:pPr>
              <w:spacing w:line="440" w:lineRule="exact"/>
              <w:ind w:firstLine="480" w:firstLineChars="200"/>
              <w:rPr>
                <w:rFonts w:hint="default" w:eastAsia="仿宋" w:cs="宋体"/>
                <w:color w:val="auto"/>
                <w:sz w:val="24"/>
              </w:rPr>
            </w:pPr>
            <w:r>
              <w:rPr>
                <w:rFonts w:hint="default" w:eastAsia="仿宋" w:cs="宋体"/>
                <w:color w:val="auto"/>
                <w:sz w:val="24"/>
              </w:rPr>
              <w:t>物理安全</w:t>
            </w:r>
          </w:p>
        </w:tc>
        <w:tc>
          <w:tcPr>
            <w:tcW w:w="6660" w:type="dxa"/>
            <w:vAlign w:val="center"/>
          </w:tcPr>
          <w:p>
            <w:pPr>
              <w:spacing w:line="440" w:lineRule="exact"/>
              <w:ind w:firstLine="480" w:firstLineChars="200"/>
              <w:rPr>
                <w:rFonts w:hint="default" w:eastAsia="仿宋" w:cs="宋体"/>
                <w:color w:val="auto"/>
                <w:sz w:val="24"/>
              </w:rPr>
            </w:pPr>
            <w:r>
              <w:rPr>
                <w:rFonts w:hint="default" w:eastAsia="仿宋" w:cs="宋体"/>
                <w:color w:val="auto"/>
                <w:sz w:val="24"/>
              </w:rPr>
              <w:t>物理位置的选择、物理访问控制、防盗窃和防破坏、防雷击、防火、防水和防潮、防静电、温湿度控制、电力供应、电磁防护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07" w:hRule="atLeast"/>
          <w:jc w:val="center"/>
        </w:trPr>
        <w:tc>
          <w:tcPr>
            <w:tcW w:w="797" w:type="dxa"/>
            <w:vAlign w:val="center"/>
          </w:tcPr>
          <w:p>
            <w:pPr>
              <w:spacing w:line="440" w:lineRule="exact"/>
              <w:jc w:val="center"/>
              <w:rPr>
                <w:rFonts w:hint="default" w:eastAsia="仿宋" w:cs="宋体"/>
                <w:color w:val="auto"/>
                <w:sz w:val="24"/>
              </w:rPr>
            </w:pPr>
            <w:r>
              <w:rPr>
                <w:rFonts w:hint="default" w:eastAsia="仿宋" w:cs="宋体"/>
                <w:color w:val="auto"/>
                <w:sz w:val="24"/>
              </w:rPr>
              <w:t>2</w:t>
            </w:r>
          </w:p>
        </w:tc>
        <w:tc>
          <w:tcPr>
            <w:tcW w:w="2323" w:type="dxa"/>
            <w:vAlign w:val="center"/>
          </w:tcPr>
          <w:p>
            <w:pPr>
              <w:spacing w:line="440" w:lineRule="exact"/>
              <w:ind w:firstLine="480" w:firstLineChars="200"/>
              <w:rPr>
                <w:rFonts w:hint="default" w:eastAsia="仿宋" w:cs="宋体"/>
                <w:color w:val="auto"/>
                <w:sz w:val="24"/>
              </w:rPr>
            </w:pPr>
            <w:r>
              <w:rPr>
                <w:rFonts w:hint="default" w:eastAsia="仿宋" w:cs="宋体"/>
                <w:color w:val="auto"/>
                <w:sz w:val="24"/>
              </w:rPr>
              <w:t>网络安全</w:t>
            </w:r>
          </w:p>
        </w:tc>
        <w:tc>
          <w:tcPr>
            <w:tcW w:w="6660" w:type="dxa"/>
            <w:vAlign w:val="center"/>
          </w:tcPr>
          <w:p>
            <w:pPr>
              <w:spacing w:line="440" w:lineRule="exact"/>
              <w:ind w:firstLine="480" w:firstLineChars="200"/>
              <w:rPr>
                <w:rFonts w:hint="default" w:eastAsia="仿宋" w:cs="宋体"/>
                <w:color w:val="auto"/>
                <w:sz w:val="24"/>
              </w:rPr>
            </w:pPr>
            <w:r>
              <w:rPr>
                <w:rFonts w:hint="default" w:eastAsia="仿宋" w:cs="宋体"/>
                <w:color w:val="auto"/>
                <w:sz w:val="24"/>
              </w:rPr>
              <w:t>网络结构安全与网段划分、网络访问控制、拨号访问控制、网络安全审计、边界完整性检查、网络入侵防范、恶意代码防范、网络设备防护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80" w:hRule="atLeast"/>
          <w:jc w:val="center"/>
        </w:trPr>
        <w:tc>
          <w:tcPr>
            <w:tcW w:w="797" w:type="dxa"/>
            <w:vAlign w:val="center"/>
          </w:tcPr>
          <w:p>
            <w:pPr>
              <w:spacing w:line="440" w:lineRule="exact"/>
              <w:jc w:val="center"/>
              <w:rPr>
                <w:rFonts w:hint="default" w:eastAsia="仿宋" w:cs="宋体"/>
                <w:color w:val="auto"/>
                <w:sz w:val="24"/>
              </w:rPr>
            </w:pPr>
            <w:r>
              <w:rPr>
                <w:rFonts w:hint="default" w:eastAsia="仿宋" w:cs="宋体"/>
                <w:color w:val="auto"/>
                <w:sz w:val="24"/>
              </w:rPr>
              <w:t>3</w:t>
            </w:r>
          </w:p>
        </w:tc>
        <w:tc>
          <w:tcPr>
            <w:tcW w:w="2323" w:type="dxa"/>
            <w:vAlign w:val="center"/>
          </w:tcPr>
          <w:p>
            <w:pPr>
              <w:spacing w:line="440" w:lineRule="exact"/>
              <w:ind w:firstLine="480" w:firstLineChars="200"/>
              <w:rPr>
                <w:rFonts w:hint="default" w:eastAsia="仿宋" w:cs="宋体"/>
                <w:color w:val="auto"/>
                <w:sz w:val="24"/>
              </w:rPr>
            </w:pPr>
            <w:r>
              <w:rPr>
                <w:rFonts w:hint="default" w:eastAsia="仿宋" w:cs="宋体"/>
                <w:color w:val="auto"/>
                <w:sz w:val="24"/>
              </w:rPr>
              <w:t>主机安全</w:t>
            </w:r>
          </w:p>
        </w:tc>
        <w:tc>
          <w:tcPr>
            <w:tcW w:w="6660" w:type="dxa"/>
            <w:vAlign w:val="center"/>
          </w:tcPr>
          <w:p>
            <w:pPr>
              <w:spacing w:line="440" w:lineRule="exact"/>
              <w:ind w:firstLine="480" w:firstLineChars="200"/>
              <w:rPr>
                <w:rFonts w:hint="default" w:eastAsia="仿宋" w:cs="宋体"/>
                <w:color w:val="auto"/>
                <w:sz w:val="24"/>
              </w:rPr>
            </w:pPr>
            <w:r>
              <w:rPr>
                <w:rFonts w:hint="default" w:eastAsia="仿宋" w:cs="宋体"/>
                <w:color w:val="auto"/>
                <w:sz w:val="24"/>
              </w:rPr>
              <w:t>身份鉴别、自主访问控制、安全审计、系统保护、剩余信息保护、入侵检测、恶意代码防范、资源控制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64" w:hRule="atLeast"/>
          <w:jc w:val="center"/>
        </w:trPr>
        <w:tc>
          <w:tcPr>
            <w:tcW w:w="797" w:type="dxa"/>
            <w:vAlign w:val="center"/>
          </w:tcPr>
          <w:p>
            <w:pPr>
              <w:spacing w:line="440" w:lineRule="exact"/>
              <w:jc w:val="center"/>
              <w:rPr>
                <w:rFonts w:hint="default" w:eastAsia="仿宋" w:cs="宋体"/>
                <w:color w:val="auto"/>
                <w:sz w:val="24"/>
              </w:rPr>
            </w:pPr>
            <w:r>
              <w:rPr>
                <w:rFonts w:hint="default" w:eastAsia="仿宋" w:cs="宋体"/>
                <w:color w:val="auto"/>
                <w:sz w:val="24"/>
              </w:rPr>
              <w:t>4</w:t>
            </w:r>
          </w:p>
        </w:tc>
        <w:tc>
          <w:tcPr>
            <w:tcW w:w="2323" w:type="dxa"/>
            <w:vAlign w:val="center"/>
          </w:tcPr>
          <w:p>
            <w:pPr>
              <w:spacing w:line="440" w:lineRule="exact"/>
              <w:ind w:firstLine="480" w:firstLineChars="200"/>
              <w:rPr>
                <w:rFonts w:hint="default" w:eastAsia="仿宋" w:cs="宋体"/>
                <w:color w:val="auto"/>
                <w:sz w:val="24"/>
              </w:rPr>
            </w:pPr>
            <w:r>
              <w:rPr>
                <w:rFonts w:hint="default" w:eastAsia="仿宋" w:cs="宋体"/>
                <w:color w:val="auto"/>
                <w:sz w:val="24"/>
              </w:rPr>
              <w:t>应用安全</w:t>
            </w:r>
          </w:p>
        </w:tc>
        <w:tc>
          <w:tcPr>
            <w:tcW w:w="6660" w:type="dxa"/>
            <w:vAlign w:val="center"/>
          </w:tcPr>
          <w:p>
            <w:pPr>
              <w:spacing w:line="440" w:lineRule="exact"/>
              <w:ind w:firstLine="480" w:firstLineChars="200"/>
              <w:rPr>
                <w:rFonts w:hint="default" w:eastAsia="仿宋" w:cs="宋体"/>
                <w:color w:val="auto"/>
                <w:sz w:val="24"/>
              </w:rPr>
            </w:pPr>
            <w:r>
              <w:rPr>
                <w:rFonts w:hint="default" w:eastAsia="仿宋" w:cs="宋体"/>
                <w:color w:val="auto"/>
                <w:sz w:val="24"/>
              </w:rPr>
              <w:t>身份鉴别、访问控制、安全审计、剩余信息保护、通信完整性、通信保密性、软件容错、资源控制、代码安全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0" w:hRule="atLeast"/>
          <w:jc w:val="center"/>
        </w:trPr>
        <w:tc>
          <w:tcPr>
            <w:tcW w:w="797" w:type="dxa"/>
            <w:vAlign w:val="center"/>
          </w:tcPr>
          <w:p>
            <w:pPr>
              <w:spacing w:line="440" w:lineRule="exact"/>
              <w:jc w:val="center"/>
              <w:rPr>
                <w:rFonts w:hint="default" w:eastAsia="仿宋" w:cs="宋体"/>
                <w:color w:val="auto"/>
                <w:sz w:val="24"/>
              </w:rPr>
            </w:pPr>
            <w:r>
              <w:rPr>
                <w:rFonts w:hint="default" w:eastAsia="仿宋" w:cs="宋体"/>
                <w:color w:val="auto"/>
                <w:sz w:val="24"/>
              </w:rPr>
              <w:t>5</w:t>
            </w:r>
          </w:p>
        </w:tc>
        <w:tc>
          <w:tcPr>
            <w:tcW w:w="2323" w:type="dxa"/>
            <w:vAlign w:val="center"/>
          </w:tcPr>
          <w:p>
            <w:pPr>
              <w:spacing w:line="440" w:lineRule="exact"/>
              <w:ind w:firstLine="480" w:firstLineChars="200"/>
              <w:rPr>
                <w:rFonts w:hint="default" w:eastAsia="仿宋" w:cs="宋体"/>
                <w:color w:val="auto"/>
                <w:sz w:val="24"/>
              </w:rPr>
            </w:pPr>
            <w:r>
              <w:rPr>
                <w:rFonts w:hint="default" w:eastAsia="仿宋" w:cs="宋体"/>
                <w:color w:val="auto"/>
                <w:sz w:val="24"/>
              </w:rPr>
              <w:t>数据安全</w:t>
            </w:r>
          </w:p>
        </w:tc>
        <w:tc>
          <w:tcPr>
            <w:tcW w:w="6660" w:type="dxa"/>
            <w:vAlign w:val="center"/>
          </w:tcPr>
          <w:p>
            <w:pPr>
              <w:spacing w:line="440" w:lineRule="exact"/>
              <w:ind w:firstLine="480" w:firstLineChars="200"/>
              <w:rPr>
                <w:rFonts w:hint="default" w:eastAsia="仿宋" w:cs="宋体"/>
                <w:color w:val="auto"/>
                <w:sz w:val="24"/>
              </w:rPr>
            </w:pPr>
            <w:r>
              <w:rPr>
                <w:rFonts w:hint="default" w:eastAsia="仿宋" w:cs="宋体"/>
                <w:color w:val="auto"/>
                <w:sz w:val="24"/>
              </w:rPr>
              <w:t>数据完整性、数据保密性、数据备份和恢复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45" w:hRule="atLeast"/>
          <w:jc w:val="center"/>
        </w:trPr>
        <w:tc>
          <w:tcPr>
            <w:tcW w:w="797" w:type="dxa"/>
            <w:vAlign w:val="center"/>
          </w:tcPr>
          <w:p>
            <w:pPr>
              <w:spacing w:line="440" w:lineRule="exact"/>
              <w:jc w:val="center"/>
              <w:rPr>
                <w:rFonts w:hint="default" w:eastAsia="仿宋" w:cs="宋体"/>
                <w:color w:val="auto"/>
                <w:sz w:val="24"/>
              </w:rPr>
            </w:pPr>
            <w:r>
              <w:rPr>
                <w:rFonts w:hint="default" w:eastAsia="仿宋" w:cs="宋体"/>
                <w:color w:val="auto"/>
                <w:sz w:val="24"/>
              </w:rPr>
              <w:t>6</w:t>
            </w:r>
          </w:p>
        </w:tc>
        <w:tc>
          <w:tcPr>
            <w:tcW w:w="2323" w:type="dxa"/>
            <w:vAlign w:val="center"/>
          </w:tcPr>
          <w:p>
            <w:pPr>
              <w:spacing w:line="440" w:lineRule="exact"/>
              <w:ind w:firstLine="480" w:firstLineChars="200"/>
              <w:rPr>
                <w:rFonts w:hint="default" w:eastAsia="仿宋" w:cs="宋体"/>
                <w:color w:val="auto"/>
                <w:sz w:val="24"/>
              </w:rPr>
            </w:pPr>
            <w:r>
              <w:rPr>
                <w:rFonts w:hint="default" w:eastAsia="仿宋" w:cs="宋体"/>
                <w:color w:val="auto"/>
                <w:sz w:val="24"/>
              </w:rPr>
              <w:t>安全管理机构</w:t>
            </w:r>
          </w:p>
        </w:tc>
        <w:tc>
          <w:tcPr>
            <w:tcW w:w="6660" w:type="dxa"/>
            <w:vAlign w:val="center"/>
          </w:tcPr>
          <w:p>
            <w:pPr>
              <w:spacing w:line="440" w:lineRule="exact"/>
              <w:ind w:firstLine="480" w:firstLineChars="200"/>
              <w:rPr>
                <w:rFonts w:hint="default" w:eastAsia="仿宋" w:cs="宋体"/>
                <w:color w:val="auto"/>
                <w:sz w:val="24"/>
              </w:rPr>
            </w:pPr>
            <w:r>
              <w:rPr>
                <w:rFonts w:hint="default" w:eastAsia="仿宋" w:cs="宋体"/>
                <w:color w:val="auto"/>
                <w:sz w:val="24"/>
              </w:rPr>
              <w:t>岗位设置、人员配备、授权和审批、沟通与合作、审核与检查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82" w:hRule="atLeast"/>
          <w:jc w:val="center"/>
        </w:trPr>
        <w:tc>
          <w:tcPr>
            <w:tcW w:w="797" w:type="dxa"/>
            <w:vAlign w:val="center"/>
          </w:tcPr>
          <w:p>
            <w:pPr>
              <w:spacing w:line="440" w:lineRule="exact"/>
              <w:jc w:val="center"/>
              <w:rPr>
                <w:rFonts w:hint="default" w:eastAsia="仿宋" w:cs="宋体"/>
                <w:color w:val="auto"/>
                <w:sz w:val="24"/>
              </w:rPr>
            </w:pPr>
            <w:r>
              <w:rPr>
                <w:rFonts w:hint="default" w:eastAsia="仿宋" w:cs="宋体"/>
                <w:color w:val="auto"/>
                <w:sz w:val="24"/>
              </w:rPr>
              <w:t>7</w:t>
            </w:r>
          </w:p>
        </w:tc>
        <w:tc>
          <w:tcPr>
            <w:tcW w:w="2323" w:type="dxa"/>
            <w:vAlign w:val="center"/>
          </w:tcPr>
          <w:p>
            <w:pPr>
              <w:spacing w:line="440" w:lineRule="exact"/>
              <w:ind w:firstLine="480" w:firstLineChars="200"/>
              <w:rPr>
                <w:rFonts w:hint="default" w:eastAsia="仿宋" w:cs="宋体"/>
                <w:color w:val="auto"/>
                <w:sz w:val="24"/>
              </w:rPr>
            </w:pPr>
            <w:r>
              <w:rPr>
                <w:rFonts w:hint="default" w:eastAsia="仿宋" w:cs="宋体"/>
                <w:color w:val="auto"/>
                <w:sz w:val="24"/>
              </w:rPr>
              <w:t>安全管理制度</w:t>
            </w:r>
          </w:p>
        </w:tc>
        <w:tc>
          <w:tcPr>
            <w:tcW w:w="6660" w:type="dxa"/>
            <w:vAlign w:val="center"/>
          </w:tcPr>
          <w:p>
            <w:pPr>
              <w:spacing w:line="440" w:lineRule="exact"/>
              <w:ind w:firstLine="480" w:firstLineChars="200"/>
              <w:rPr>
                <w:rFonts w:hint="default" w:eastAsia="仿宋" w:cs="宋体"/>
                <w:color w:val="auto"/>
                <w:sz w:val="24"/>
              </w:rPr>
            </w:pPr>
            <w:r>
              <w:rPr>
                <w:rFonts w:hint="default" w:eastAsia="仿宋" w:cs="宋体"/>
                <w:color w:val="auto"/>
                <w:sz w:val="24"/>
              </w:rPr>
              <w:t>管理制度、制定与发布、评审和修订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45" w:hRule="atLeast"/>
          <w:jc w:val="center"/>
        </w:trPr>
        <w:tc>
          <w:tcPr>
            <w:tcW w:w="797" w:type="dxa"/>
            <w:vAlign w:val="center"/>
          </w:tcPr>
          <w:p>
            <w:pPr>
              <w:spacing w:line="440" w:lineRule="exact"/>
              <w:jc w:val="center"/>
              <w:rPr>
                <w:rFonts w:hint="default" w:eastAsia="仿宋" w:cs="宋体"/>
                <w:color w:val="auto"/>
                <w:sz w:val="24"/>
              </w:rPr>
            </w:pPr>
            <w:r>
              <w:rPr>
                <w:rFonts w:hint="default" w:eastAsia="仿宋" w:cs="宋体"/>
                <w:color w:val="auto"/>
                <w:sz w:val="24"/>
              </w:rPr>
              <w:t>8</w:t>
            </w:r>
          </w:p>
        </w:tc>
        <w:tc>
          <w:tcPr>
            <w:tcW w:w="2323" w:type="dxa"/>
            <w:vAlign w:val="center"/>
          </w:tcPr>
          <w:p>
            <w:pPr>
              <w:spacing w:line="440" w:lineRule="exact"/>
              <w:ind w:firstLine="480" w:firstLineChars="200"/>
              <w:rPr>
                <w:rFonts w:hint="default" w:eastAsia="仿宋" w:cs="宋体"/>
                <w:color w:val="auto"/>
                <w:sz w:val="24"/>
              </w:rPr>
            </w:pPr>
            <w:r>
              <w:rPr>
                <w:rFonts w:hint="default" w:eastAsia="仿宋" w:cs="宋体"/>
                <w:color w:val="auto"/>
                <w:sz w:val="24"/>
              </w:rPr>
              <w:t>人员安全管理</w:t>
            </w:r>
          </w:p>
        </w:tc>
        <w:tc>
          <w:tcPr>
            <w:tcW w:w="6660" w:type="dxa"/>
            <w:vAlign w:val="center"/>
          </w:tcPr>
          <w:p>
            <w:pPr>
              <w:spacing w:line="440" w:lineRule="exact"/>
              <w:ind w:firstLine="480" w:firstLineChars="200"/>
              <w:rPr>
                <w:rFonts w:hint="default" w:eastAsia="仿宋" w:cs="宋体"/>
                <w:color w:val="auto"/>
                <w:sz w:val="24"/>
              </w:rPr>
            </w:pPr>
            <w:r>
              <w:rPr>
                <w:rFonts w:hint="default" w:eastAsia="仿宋" w:cs="宋体"/>
                <w:color w:val="auto"/>
                <w:sz w:val="24"/>
              </w:rPr>
              <w:t>人员录用、人员离岗、人员考核、安全意识教育和培训、第三方人员访问管理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07" w:hRule="atLeast"/>
          <w:jc w:val="center"/>
        </w:trPr>
        <w:tc>
          <w:tcPr>
            <w:tcW w:w="797" w:type="dxa"/>
            <w:vAlign w:val="center"/>
          </w:tcPr>
          <w:p>
            <w:pPr>
              <w:spacing w:line="440" w:lineRule="exact"/>
              <w:jc w:val="center"/>
              <w:rPr>
                <w:rFonts w:hint="default" w:eastAsia="仿宋" w:cs="宋体"/>
                <w:color w:val="auto"/>
                <w:sz w:val="24"/>
              </w:rPr>
            </w:pPr>
            <w:r>
              <w:rPr>
                <w:rFonts w:hint="default" w:eastAsia="仿宋" w:cs="宋体"/>
                <w:color w:val="auto"/>
                <w:sz w:val="24"/>
              </w:rPr>
              <w:t>9</w:t>
            </w:r>
          </w:p>
        </w:tc>
        <w:tc>
          <w:tcPr>
            <w:tcW w:w="2323" w:type="dxa"/>
            <w:vAlign w:val="center"/>
          </w:tcPr>
          <w:p>
            <w:pPr>
              <w:spacing w:line="440" w:lineRule="exact"/>
              <w:ind w:firstLine="480" w:firstLineChars="200"/>
              <w:rPr>
                <w:rFonts w:hint="default" w:eastAsia="仿宋" w:cs="宋体"/>
                <w:color w:val="auto"/>
                <w:sz w:val="24"/>
              </w:rPr>
            </w:pPr>
            <w:r>
              <w:rPr>
                <w:rFonts w:hint="default" w:eastAsia="仿宋" w:cs="宋体"/>
                <w:color w:val="auto"/>
                <w:sz w:val="24"/>
              </w:rPr>
              <w:t>系统建设管理</w:t>
            </w:r>
          </w:p>
        </w:tc>
        <w:tc>
          <w:tcPr>
            <w:tcW w:w="6660" w:type="dxa"/>
            <w:vAlign w:val="center"/>
          </w:tcPr>
          <w:p>
            <w:pPr>
              <w:spacing w:line="440" w:lineRule="exact"/>
              <w:ind w:firstLine="480" w:firstLineChars="200"/>
              <w:rPr>
                <w:rFonts w:hint="default" w:eastAsia="仿宋" w:cs="宋体"/>
                <w:color w:val="auto"/>
                <w:sz w:val="24"/>
              </w:rPr>
            </w:pPr>
            <w:r>
              <w:rPr>
                <w:rFonts w:hint="default" w:eastAsia="仿宋" w:cs="宋体"/>
                <w:color w:val="auto"/>
                <w:sz w:val="24"/>
              </w:rPr>
              <w:t>系统定级、安全方案设计、产品采购、自行软件开发、外包软件开发、工程实施、测试验收、系统交付、系统备案、安全服务商选择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73" w:hRule="atLeast"/>
          <w:jc w:val="center"/>
        </w:trPr>
        <w:tc>
          <w:tcPr>
            <w:tcW w:w="797" w:type="dxa"/>
            <w:vAlign w:val="center"/>
          </w:tcPr>
          <w:p>
            <w:pPr>
              <w:spacing w:line="440" w:lineRule="exact"/>
              <w:jc w:val="center"/>
              <w:rPr>
                <w:rFonts w:hint="default" w:eastAsia="仿宋" w:cs="宋体"/>
                <w:color w:val="auto"/>
                <w:sz w:val="24"/>
              </w:rPr>
            </w:pPr>
            <w:r>
              <w:rPr>
                <w:rFonts w:hint="default" w:eastAsia="仿宋" w:cs="宋体"/>
                <w:color w:val="auto"/>
                <w:sz w:val="24"/>
              </w:rPr>
              <w:t>10</w:t>
            </w:r>
          </w:p>
        </w:tc>
        <w:tc>
          <w:tcPr>
            <w:tcW w:w="2323" w:type="dxa"/>
            <w:vAlign w:val="center"/>
          </w:tcPr>
          <w:p>
            <w:pPr>
              <w:spacing w:line="440" w:lineRule="exact"/>
              <w:ind w:firstLine="480" w:firstLineChars="200"/>
              <w:rPr>
                <w:rFonts w:hint="default" w:eastAsia="仿宋" w:cs="宋体"/>
                <w:color w:val="auto"/>
                <w:sz w:val="24"/>
              </w:rPr>
            </w:pPr>
            <w:r>
              <w:rPr>
                <w:rFonts w:hint="default" w:eastAsia="仿宋" w:cs="宋体"/>
                <w:color w:val="auto"/>
                <w:sz w:val="24"/>
              </w:rPr>
              <w:t>系统运维管理</w:t>
            </w:r>
          </w:p>
        </w:tc>
        <w:tc>
          <w:tcPr>
            <w:tcW w:w="6660" w:type="dxa"/>
            <w:vAlign w:val="center"/>
          </w:tcPr>
          <w:p>
            <w:pPr>
              <w:spacing w:line="440" w:lineRule="exact"/>
              <w:ind w:firstLine="480" w:firstLineChars="200"/>
              <w:rPr>
                <w:rFonts w:hint="default" w:eastAsia="仿宋" w:cs="宋体"/>
                <w:color w:val="auto"/>
                <w:sz w:val="24"/>
              </w:rPr>
            </w:pPr>
            <w:r>
              <w:rPr>
                <w:rFonts w:hint="default" w:eastAsia="仿宋" w:cs="宋体"/>
                <w:color w:val="auto"/>
                <w:sz w:val="24"/>
              </w:rPr>
              <w:t>环境管理、资产管理、监控管理、系统安全管理、网络安全管理、恶意代码防护管理、密码管理、变更管理、备份和恢复管理、安全事件处置、应急预案管理</w:t>
            </w:r>
          </w:p>
        </w:tc>
      </w:tr>
    </w:tbl>
    <w:p>
      <w:pPr>
        <w:spacing w:line="500" w:lineRule="exact"/>
        <w:rPr>
          <w:rFonts w:asciiTheme="minorEastAsia" w:hAnsi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Wingdings">
    <w:panose1 w:val="05000000000000000000"/>
    <w:charset w:val="02"/>
    <w:family w:val="decorative"/>
    <w:pitch w:val="default"/>
    <w:sig w:usb0="00000000" w:usb1="00000000" w:usb2="00000000" w:usb3="00000000" w:csb0="80000000" w:csb1="00000000"/>
  </w:font>
  <w:font w:name="Calibri Light">
    <w:altName w:val="Helvetica Neue"/>
    <w:panose1 w:val="020F0302020204030204"/>
    <w:charset w:val="00"/>
    <w:family w:val="swiss"/>
    <w:pitch w:val="default"/>
    <w:sig w:usb0="00000000" w:usb1="00000000" w:usb2="00000009" w:usb3="00000000" w:csb0="000001FF"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0"/>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Arial">
    <w:panose1 w:val="020B0604020202090204"/>
    <w:charset w:val="00"/>
    <w:family w:val="swiss"/>
    <w:pitch w:val="default"/>
    <w:sig w:usb0="E0000AFF" w:usb1="00007843" w:usb2="00000001" w:usb3="00000000" w:csb0="400001BF" w:csb1="DFF70000"/>
  </w:font>
  <w:font w:name="Tahoma">
    <w:panose1 w:val="020B0604030504040204"/>
    <w:charset w:val="00"/>
    <w:family w:val="swiss"/>
    <w:pitch w:val="default"/>
    <w:sig w:usb0="E1002AFF" w:usb1="C000605B" w:usb2="00000029" w:usb3="00000000" w:csb0="200101FF" w:csb1="20280000"/>
  </w:font>
  <w:font w:name="仿宋_GB2312">
    <w:altName w:val="仿宋"/>
    <w:panose1 w:val="02010609030101010101"/>
    <w:charset w:val="00"/>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长城仿宋">
    <w:altName w:val="苹方-简"/>
    <w:panose1 w:val="00000000000000000000"/>
    <w:charset w:val="00"/>
    <w:family w:val="modern"/>
    <w:pitch w:val="default"/>
    <w:sig w:usb0="00000000" w:usb1="00000000" w:usb2="00000010" w:usb3="00000000" w:csb0="00040000" w:csb1="00000000"/>
  </w:font>
  <w:font w:name="Verdana">
    <w:panose1 w:val="020B08040305040B0204"/>
    <w:charset w:val="00"/>
    <w:family w:val="swiss"/>
    <w:pitch w:val="default"/>
    <w:sig w:usb0="A10006FF" w:usb1="4000205B" w:usb2="00000010" w:usb3="00000000" w:csb0="2000019F" w:csb1="00000000"/>
  </w:font>
  <w:font w:name="Helvetica">
    <w:panose1 w:val="00000000000000000000"/>
    <w:charset w:val="00"/>
    <w:family w:val="auto"/>
    <w:pitch w:val="default"/>
    <w:sig w:usb0="E00002FF" w:usb1="5000785B" w:usb2="00000000" w:usb3="00000000" w:csb0="2000019F" w:csb1="4F010000"/>
  </w:font>
  <w:font w:name="楷体_GB2312">
    <w:altName w:val="楷体"/>
    <w:panose1 w:val="02010609030101010101"/>
    <w:charset w:val="00"/>
    <w:family w:val="modern"/>
    <w:pitch w:val="default"/>
    <w:sig w:usb0="00000000" w:usb1="00000000" w:usb2="00000010" w:usb3="00000000" w:csb0="00040000" w:csb1="00000000"/>
  </w:font>
  <w:font w:name="monospace">
    <w:altName w:val="苹方-简"/>
    <w:panose1 w:val="00000000000000000000"/>
    <w:charset w:val="00"/>
    <w:family w:val="auto"/>
    <w:pitch w:val="default"/>
    <w:sig w:usb0="00000000" w:usb1="00000000" w:usb2="00000000" w:usb3="00000000" w:csb0="00040001" w:csb1="00000000"/>
  </w:font>
  <w:font w:name="Garamond">
    <w:altName w:val="苹方-简"/>
    <w:panose1 w:val="02020502050306020203"/>
    <w:charset w:val="00"/>
    <w:family w:val="roman"/>
    <w:pitch w:val="default"/>
    <w:sig w:usb0="00000000" w:usb1="00000000" w:usb2="00000000" w:usb3="00000000" w:csb0="00040001" w:csb1="00000000"/>
  </w:font>
  <w:font w:name="MS PGothic">
    <w:panose1 w:val="020B0600070205080204"/>
    <w:charset w:val="80"/>
    <w:family w:val="swiss"/>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华文细黑">
    <w:altName w:val="黑体-简"/>
    <w:panose1 w:val="02010600040101010101"/>
    <w:charset w:val="00"/>
    <w:family w:val="auto"/>
    <w:pitch w:val="default"/>
    <w:sig w:usb0="00000000" w:usb1="00000000" w:usb2="00000010" w:usb3="00000000" w:csb0="0004009F" w:csb1="00000000"/>
  </w:font>
  <w:font w:name="新宋体">
    <w:altName w:val="苹方-简"/>
    <w:panose1 w:val="02010609030101010101"/>
    <w:charset w:val="00"/>
    <w:family w:val="modern"/>
    <w:pitch w:val="default"/>
    <w:sig w:usb0="00000000" w:usb1="00000000" w:usb2="00000006" w:usb3="00000000" w:csb0="00040001" w:csb1="00000000"/>
  </w:font>
  <w:font w:name="黑体-简">
    <w:panose1 w:val="02000000000000000000"/>
    <w:charset w:val="86"/>
    <w:family w:val="auto"/>
    <w:pitch w:val="default"/>
    <w:sig w:usb0="8000002F" w:usb1="0800004A" w:usb2="00000000" w:usb3="00000000" w:csb0="203E0000" w:csb1="00000000"/>
  </w:font>
  <w:font w:name="宋体-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318AD"/>
    <w:multiLevelType w:val="singleLevel"/>
    <w:tmpl w:val="5BD318A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17DD"/>
    <w:rsid w:val="00172A27"/>
    <w:rsid w:val="004310AE"/>
    <w:rsid w:val="00557785"/>
    <w:rsid w:val="005C1E26"/>
    <w:rsid w:val="005D09C6"/>
    <w:rsid w:val="0069551C"/>
    <w:rsid w:val="007E5BA7"/>
    <w:rsid w:val="00973516"/>
    <w:rsid w:val="00F918FE"/>
    <w:rsid w:val="00FF0D81"/>
    <w:rsid w:val="04045EDB"/>
    <w:rsid w:val="1EA61993"/>
    <w:rsid w:val="20224768"/>
    <w:rsid w:val="27BF3D34"/>
    <w:rsid w:val="2AE50083"/>
    <w:rsid w:val="3A96548B"/>
    <w:rsid w:val="4480126C"/>
    <w:rsid w:val="585010BC"/>
    <w:rsid w:val="5EF7D2C0"/>
    <w:rsid w:val="604A577B"/>
    <w:rsid w:val="624924F1"/>
    <w:rsid w:val="738A7C55"/>
    <w:rsid w:val="77CDA026"/>
    <w:rsid w:val="7B9EA6E6"/>
    <w:rsid w:val="7F5B3A62"/>
    <w:rsid w:val="DF7E2C89"/>
    <w:rsid w:val="DFFF8541"/>
    <w:rsid w:val="FAEFC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4"/>
      <w:lang w:val="en-US" w:eastAsia="zh-CN" w:bidi="ar-SA"/>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widowControl/>
      <w:tabs>
        <w:tab w:val="left" w:pos="0"/>
        <w:tab w:val="left" w:pos="993"/>
        <w:tab w:val="left" w:pos="1134"/>
      </w:tabs>
      <w:spacing w:line="500" w:lineRule="exact"/>
      <w:ind w:firstLine="567"/>
    </w:pPr>
    <w:rPr>
      <w:rFonts w:ascii="宋体"/>
      <w:kern w:val="0"/>
      <w:szCs w:val="20"/>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ind w:firstLine="419" w:firstLineChars="161"/>
    </w:pPr>
    <w:rPr>
      <w:rFonts w:ascii="宋体" w:hAnsi="宋体"/>
      <w:szCs w:val="20"/>
    </w:rPr>
  </w:style>
  <w:style w:type="paragraph" w:styleId="6">
    <w:name w:val="Normal (Web)"/>
    <w:basedOn w:val="1"/>
    <w:unhideWhenUsed/>
    <w:uiPriority w:val="0"/>
    <w:rPr>
      <w:sz w:val="24"/>
    </w:rPr>
  </w:style>
  <w:style w:type="paragraph" w:customStyle="1" w:styleId="9">
    <w:name w:val="彩色列表 - 强调文字颜色 11"/>
    <w:basedOn w:val="1"/>
    <w:qFormat/>
    <w:uiPriority w:val="72"/>
    <w:pPr>
      <w:ind w:left="720"/>
      <w:contextualSpacing/>
    </w:pPr>
  </w:style>
  <w:style w:type="paragraph" w:customStyle="1" w:styleId="10">
    <w:name w:val="List Paragraph"/>
    <w:basedOn w:val="1"/>
    <w:qFormat/>
    <w:uiPriority w:val="99"/>
    <w:pPr>
      <w:ind w:firstLine="420" w:firstLineChars="200"/>
    </w:pPr>
  </w:style>
  <w:style w:type="character" w:customStyle="1" w:styleId="11">
    <w:name w:val="页眉 字符"/>
    <w:basedOn w:val="7"/>
    <w:link w:val="4"/>
    <w:qFormat/>
    <w:uiPriority w:val="0"/>
    <w:rPr>
      <w:kern w:val="2"/>
      <w:sz w:val="18"/>
      <w:szCs w:val="18"/>
    </w:rPr>
  </w:style>
  <w:style w:type="character" w:customStyle="1" w:styleId="12">
    <w:name w:val="页脚 字符"/>
    <w:basedOn w:val="7"/>
    <w:link w:val="3"/>
    <w:qFormat/>
    <w:uiPriority w:val="0"/>
    <w:rPr>
      <w:kern w:val="2"/>
      <w:sz w:val="18"/>
      <w:szCs w:val="18"/>
    </w:rPr>
  </w:style>
  <w:style w:type="paragraph" w:customStyle="1" w:styleId="13">
    <w:name w:val="p1"/>
    <w:basedOn w:val="1"/>
    <w:uiPriority w:val="0"/>
    <w:pPr>
      <w:spacing w:before="0" w:beforeAutospacing="0" w:after="0" w:afterAutospacing="0" w:line="380" w:lineRule="atLeast"/>
      <w:ind w:left="0" w:right="0"/>
      <w:jc w:val="left"/>
    </w:pPr>
    <w:rPr>
      <w:rFonts w:ascii="Helvetica Neue" w:hAnsi="Helvetica Neue" w:eastAsia="Helvetica Neue" w:cs="Helvetica Neue"/>
      <w:kern w:val="0"/>
      <w:sz w:val="26"/>
      <w:szCs w:val="2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1016</Words>
  <Characters>5797</Characters>
  <Lines>48</Lines>
  <Paragraphs>13</Paragraphs>
  <ScaleCrop>false</ScaleCrop>
  <LinksUpToDate>false</LinksUpToDate>
  <CharactersWithSpaces>6800</CharactersWithSpaces>
  <Application>WPS Office_1.0.0.1304_F1E327BC-269C-435d-A152-05C5408002CA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2018-12-05T14:29:00Z</dcterms:created>
  <dc:creator>Administrator</dc:creator>
  <cp:lastModifiedBy>hehuan</cp:lastModifiedBy>
  <dcterms:modified xsi:type="dcterms:W3CDTF">2019-05-10T09:54:16Z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2052-1.0.0.1304</vt:lpwstr>
  </property>
</Properties>
</file>